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C8" w:rsidRDefault="00FE7DB9" w:rsidP="00FE7DB9">
      <w:pPr>
        <w:jc w:val="center"/>
        <w:rPr>
          <w:rFonts w:ascii="Garamond" w:hAnsi="Garamond"/>
          <w:b/>
          <w:sz w:val="28"/>
          <w:szCs w:val="28"/>
        </w:rPr>
      </w:pPr>
      <w:bookmarkStart w:id="0" w:name="_GoBack"/>
      <w:bookmarkEnd w:id="0"/>
      <w:r w:rsidRPr="00660FC8">
        <w:rPr>
          <w:rFonts w:ascii="Garamond" w:hAnsi="Garamond"/>
          <w:b/>
          <w:sz w:val="28"/>
          <w:szCs w:val="28"/>
        </w:rPr>
        <w:t>CMS/Acumen Report on Cost Collection</w:t>
      </w:r>
    </w:p>
    <w:p w:rsidR="00FE7DB9" w:rsidRPr="00660FC8" w:rsidRDefault="0068789A" w:rsidP="00FE7DB9">
      <w:pPr>
        <w:jc w:val="center"/>
        <w:rPr>
          <w:rFonts w:ascii="Garamond" w:hAnsi="Garamond"/>
          <w:b/>
          <w:sz w:val="28"/>
          <w:szCs w:val="28"/>
        </w:rPr>
      </w:pPr>
      <w:r w:rsidRPr="00660FC8">
        <w:rPr>
          <w:rFonts w:ascii="Garamond" w:hAnsi="Garamond"/>
          <w:b/>
          <w:sz w:val="28"/>
          <w:szCs w:val="28"/>
        </w:rPr>
        <w:t>Supports the AAA’s Hybrid Model</w:t>
      </w:r>
    </w:p>
    <w:p w:rsidR="00FE7DB9" w:rsidRPr="008B4564" w:rsidRDefault="00FE7DB9" w:rsidP="00FE7DB9">
      <w:pPr>
        <w:rPr>
          <w:rFonts w:ascii="Garamond" w:hAnsi="Garamond"/>
          <w:b/>
        </w:rPr>
      </w:pPr>
    </w:p>
    <w:p w:rsidR="007211F9" w:rsidRPr="008B4564" w:rsidRDefault="007211F9" w:rsidP="008B4564">
      <w:pPr>
        <w:jc w:val="center"/>
        <w:rPr>
          <w:rFonts w:ascii="Garamond" w:hAnsi="Garamond"/>
          <w:b/>
          <w:smallCaps/>
        </w:rPr>
      </w:pPr>
      <w:r w:rsidRPr="008B4564">
        <w:rPr>
          <w:rFonts w:ascii="Garamond" w:hAnsi="Garamond"/>
          <w:b/>
          <w:smallCaps/>
        </w:rPr>
        <w:t>Background</w:t>
      </w:r>
    </w:p>
    <w:p w:rsidR="00660FC8" w:rsidRDefault="00660FC8" w:rsidP="00703B36">
      <w:pPr>
        <w:rPr>
          <w:rFonts w:ascii="Garamond" w:hAnsi="Garamond"/>
        </w:rPr>
      </w:pPr>
    </w:p>
    <w:p w:rsidR="00616971" w:rsidRPr="008B4564" w:rsidRDefault="007211F9" w:rsidP="00703B36">
      <w:pPr>
        <w:rPr>
          <w:rFonts w:ascii="Garamond" w:hAnsi="Garamond"/>
        </w:rPr>
      </w:pPr>
      <w:r w:rsidRPr="008B4564">
        <w:rPr>
          <w:rFonts w:ascii="Garamond" w:hAnsi="Garamond"/>
        </w:rPr>
        <w:t xml:space="preserve">The American Taxpayer Relief Act (ATRA) instructed the Secretary of the Department of Health and Human Services to:  </w:t>
      </w:r>
    </w:p>
    <w:p w:rsidR="00616971" w:rsidRPr="008B4564" w:rsidRDefault="00616971" w:rsidP="00703B36">
      <w:pPr>
        <w:rPr>
          <w:rFonts w:ascii="Garamond" w:hAnsi="Garamond"/>
        </w:rPr>
      </w:pPr>
    </w:p>
    <w:p w:rsidR="00616971" w:rsidRPr="008B4564" w:rsidRDefault="007211F9" w:rsidP="00703B36">
      <w:pPr>
        <w:rPr>
          <w:rFonts w:ascii="Garamond" w:hAnsi="Garamond"/>
        </w:rPr>
      </w:pPr>
      <w:r w:rsidRPr="008B4564">
        <w:rPr>
          <w:rFonts w:ascii="Garamond" w:hAnsi="Garamond"/>
        </w:rPr>
        <w:t xml:space="preserve">(1) </w:t>
      </w:r>
      <w:r w:rsidR="00C17A40" w:rsidRPr="008B4564">
        <w:rPr>
          <w:rFonts w:ascii="Garamond" w:hAnsi="Garamond"/>
        </w:rPr>
        <w:t>Conduct</w:t>
      </w:r>
      <w:r w:rsidRPr="008B4564">
        <w:rPr>
          <w:rFonts w:ascii="Garamond" w:hAnsi="Garamond"/>
        </w:rPr>
        <w:t xml:space="preserve"> a study that analyzes data on existing Medicare cost reports for ambulance services furnished by hospitals and </w:t>
      </w:r>
      <w:r w:rsidR="00616971" w:rsidRPr="008B4564">
        <w:rPr>
          <w:rFonts w:ascii="Garamond" w:hAnsi="Garamond"/>
        </w:rPr>
        <w:t>critical access hospitals</w:t>
      </w:r>
      <w:r w:rsidR="00940D01" w:rsidRPr="008B4564">
        <w:rPr>
          <w:rFonts w:ascii="Garamond" w:hAnsi="Garamond"/>
        </w:rPr>
        <w:t xml:space="preserve"> (CAH)</w:t>
      </w:r>
      <w:r w:rsidRPr="008B4564">
        <w:rPr>
          <w:rFonts w:ascii="Garamond" w:hAnsi="Garamond"/>
        </w:rPr>
        <w:t xml:space="preserve">, including assessing variation by characteristics of such service providers and </w:t>
      </w:r>
    </w:p>
    <w:p w:rsidR="00616971" w:rsidRPr="008B4564" w:rsidRDefault="00616971" w:rsidP="00703B36">
      <w:pPr>
        <w:rPr>
          <w:rFonts w:ascii="Garamond" w:hAnsi="Garamond"/>
        </w:rPr>
      </w:pPr>
    </w:p>
    <w:p w:rsidR="00703B36" w:rsidRPr="008B4564" w:rsidRDefault="007211F9" w:rsidP="00703B36">
      <w:pPr>
        <w:rPr>
          <w:rFonts w:ascii="Garamond" w:hAnsi="Garamond"/>
        </w:rPr>
      </w:pPr>
      <w:r w:rsidRPr="008B4564">
        <w:rPr>
          <w:rFonts w:ascii="Garamond" w:hAnsi="Garamond"/>
        </w:rPr>
        <w:t xml:space="preserve">(2) </w:t>
      </w:r>
      <w:r w:rsidR="00C17A40" w:rsidRPr="008B4564">
        <w:rPr>
          <w:rFonts w:ascii="Garamond" w:hAnsi="Garamond"/>
        </w:rPr>
        <w:t>Analyze</w:t>
      </w:r>
      <w:r w:rsidR="00703B36" w:rsidRPr="008B4564">
        <w:rPr>
          <w:rFonts w:ascii="Garamond" w:hAnsi="Garamond"/>
        </w:rPr>
        <w:t xml:space="preserve"> the feasibility of obtaining more complete and detailed cost data on a periodic basis from all ambulance providers and suppliers for potential use in evaluating the appropriateness of Medicare add-on payments for ground ambulance services, and in preparing for future reform of the </w:t>
      </w:r>
      <w:r w:rsidR="00616971" w:rsidRPr="008B4564">
        <w:rPr>
          <w:rFonts w:ascii="Garamond" w:hAnsi="Garamond"/>
        </w:rPr>
        <w:t>ambulance fee schedule</w:t>
      </w:r>
      <w:r w:rsidR="00703B36" w:rsidRPr="008B4564">
        <w:rPr>
          <w:rFonts w:ascii="Garamond" w:hAnsi="Garamond"/>
        </w:rPr>
        <w:t>.</w:t>
      </w:r>
    </w:p>
    <w:p w:rsidR="00703B36" w:rsidRPr="008B4564" w:rsidRDefault="00703B36" w:rsidP="00703B36">
      <w:pPr>
        <w:rPr>
          <w:rFonts w:ascii="Garamond" w:hAnsi="Garamond"/>
        </w:rPr>
      </w:pPr>
    </w:p>
    <w:p w:rsidR="00703B36" w:rsidRPr="008B4564" w:rsidRDefault="00703B36" w:rsidP="008B4564">
      <w:pPr>
        <w:jc w:val="center"/>
        <w:rPr>
          <w:rFonts w:ascii="Garamond" w:hAnsi="Garamond"/>
          <w:b/>
          <w:smallCaps/>
        </w:rPr>
      </w:pPr>
      <w:r w:rsidRPr="008B4564">
        <w:rPr>
          <w:rFonts w:ascii="Garamond" w:hAnsi="Garamond"/>
          <w:b/>
          <w:smallCaps/>
        </w:rPr>
        <w:t>Summary of the CMS/Acumen Report</w:t>
      </w:r>
    </w:p>
    <w:p w:rsidR="00660FC8" w:rsidRDefault="00660FC8" w:rsidP="00616971">
      <w:pPr>
        <w:rPr>
          <w:rFonts w:ascii="Garamond" w:hAnsi="Garamond"/>
        </w:rPr>
      </w:pPr>
    </w:p>
    <w:p w:rsidR="00616971" w:rsidRPr="008B4564" w:rsidRDefault="00703B36" w:rsidP="00616971">
      <w:pPr>
        <w:rPr>
          <w:rFonts w:ascii="Garamond" w:hAnsi="Garamond"/>
        </w:rPr>
      </w:pPr>
      <w:r w:rsidRPr="008B4564">
        <w:rPr>
          <w:rFonts w:ascii="Garamond" w:hAnsi="Garamond"/>
        </w:rPr>
        <w:t>CMS contracted with Acumen to c</w:t>
      </w:r>
      <w:r w:rsidR="00616971" w:rsidRPr="008B4564">
        <w:rPr>
          <w:rFonts w:ascii="Garamond" w:hAnsi="Garamond"/>
        </w:rPr>
        <w:t>onduct the study and analysis</w:t>
      </w:r>
      <w:r w:rsidR="001555CE">
        <w:rPr>
          <w:rFonts w:ascii="Garamond" w:hAnsi="Garamond"/>
        </w:rPr>
        <w:t xml:space="preserve">.  </w:t>
      </w:r>
      <w:r w:rsidR="00616971" w:rsidRPr="008B4564">
        <w:rPr>
          <w:rFonts w:ascii="Garamond" w:hAnsi="Garamond"/>
        </w:rPr>
        <w:t>In sum, Acumen concluded that:</w:t>
      </w:r>
    </w:p>
    <w:p w:rsidR="003C7B84" w:rsidRDefault="003C7B84" w:rsidP="003C7B84">
      <w:pPr>
        <w:pStyle w:val="NormalWeb"/>
        <w:spacing w:before="2" w:after="2"/>
        <w:rPr>
          <w:rFonts w:ascii="Garamond" w:hAnsi="Garamond" w:cstheme="minorBidi"/>
          <w:sz w:val="24"/>
          <w:szCs w:val="24"/>
        </w:rPr>
      </w:pPr>
    </w:p>
    <w:p w:rsidR="00616971" w:rsidRPr="003C7B84" w:rsidRDefault="00616971" w:rsidP="003C7B84">
      <w:pPr>
        <w:pStyle w:val="NormalWeb"/>
        <w:numPr>
          <w:ilvl w:val="0"/>
          <w:numId w:val="6"/>
        </w:numPr>
        <w:spacing w:before="2" w:after="2"/>
        <w:rPr>
          <w:rFonts w:ascii="Garamond" w:hAnsi="Garamond"/>
          <w:sz w:val="24"/>
        </w:rPr>
      </w:pPr>
      <w:r w:rsidRPr="008B4564">
        <w:rPr>
          <w:rFonts w:ascii="Garamond" w:hAnsi="Garamond"/>
          <w:sz w:val="24"/>
        </w:rPr>
        <w:t>“</w:t>
      </w:r>
      <w:r w:rsidR="0081020B" w:rsidRPr="008B4564">
        <w:rPr>
          <w:rFonts w:ascii="Garamond" w:hAnsi="Garamond"/>
          <w:sz w:val="24"/>
          <w:szCs w:val="24"/>
        </w:rPr>
        <w:t>[A]nnual cost report data are insufficient to inform ambulance payment policy due to numerous data limitations</w:t>
      </w:r>
      <w:r w:rsidR="003C7B84">
        <w:rPr>
          <w:rFonts w:ascii="Garamond" w:hAnsi="Garamond"/>
          <w:sz w:val="24"/>
          <w:szCs w:val="24"/>
        </w:rPr>
        <w:t>…</w:t>
      </w:r>
      <w:r w:rsidRPr="003C7B84">
        <w:rPr>
          <w:rFonts w:ascii="Garamond" w:hAnsi="Garamond"/>
          <w:sz w:val="24"/>
          <w:szCs w:val="24"/>
        </w:rPr>
        <w:t>Any cost reporting tool must take into account the wide variety of characteristics of ambulance providers and suppliers that Acumen’s analysis revealed. Efforts to obtain cost data from providers and suppliers must also standardize cost measures and ensure that smaller, rural, and super-rural providers and suppliers are represented.”</w:t>
      </w:r>
    </w:p>
    <w:p w:rsidR="00616971" w:rsidRPr="008B4564" w:rsidRDefault="00616971" w:rsidP="00616971">
      <w:pPr>
        <w:pStyle w:val="NormalWeb"/>
        <w:spacing w:before="2" w:after="2"/>
        <w:rPr>
          <w:rFonts w:ascii="Garamond" w:hAnsi="Garamond"/>
          <w:sz w:val="24"/>
          <w:szCs w:val="24"/>
        </w:rPr>
      </w:pPr>
    </w:p>
    <w:p w:rsidR="00616971" w:rsidRPr="008B4564" w:rsidRDefault="00616971" w:rsidP="00616971">
      <w:pPr>
        <w:pStyle w:val="NormalWeb"/>
        <w:spacing w:before="2" w:after="2"/>
        <w:rPr>
          <w:rFonts w:ascii="Garamond" w:hAnsi="Garamond"/>
          <w:sz w:val="24"/>
          <w:szCs w:val="24"/>
        </w:rPr>
      </w:pPr>
      <w:r w:rsidRPr="008B4564">
        <w:rPr>
          <w:rFonts w:ascii="Garamond" w:hAnsi="Garamond"/>
          <w:sz w:val="24"/>
          <w:szCs w:val="24"/>
        </w:rPr>
        <w:t>Acumen declined to make a specific legislative recommendation.</w:t>
      </w:r>
    </w:p>
    <w:p w:rsidR="00616971" w:rsidRPr="008B4564" w:rsidRDefault="00616971" w:rsidP="00616971">
      <w:pPr>
        <w:pStyle w:val="NormalWeb"/>
        <w:spacing w:before="2" w:after="2"/>
        <w:rPr>
          <w:rFonts w:ascii="Garamond" w:hAnsi="Garamond"/>
          <w:sz w:val="24"/>
          <w:szCs w:val="24"/>
        </w:rPr>
      </w:pPr>
    </w:p>
    <w:p w:rsidR="00AF2DA2" w:rsidRDefault="00616971" w:rsidP="008B4564">
      <w:pPr>
        <w:pStyle w:val="NormalWeb"/>
        <w:spacing w:before="2" w:after="2"/>
        <w:jc w:val="center"/>
        <w:rPr>
          <w:rFonts w:ascii="Garamond" w:hAnsi="Garamond"/>
          <w:b/>
          <w:smallCaps/>
          <w:sz w:val="24"/>
          <w:szCs w:val="24"/>
        </w:rPr>
      </w:pPr>
      <w:r w:rsidRPr="008B4564">
        <w:rPr>
          <w:rFonts w:ascii="Garamond" w:hAnsi="Garamond"/>
          <w:b/>
          <w:smallCaps/>
          <w:sz w:val="24"/>
          <w:szCs w:val="24"/>
        </w:rPr>
        <w:t>Current Cost R</w:t>
      </w:r>
      <w:r w:rsidR="0068789A" w:rsidRPr="008B4564">
        <w:rPr>
          <w:rFonts w:ascii="Garamond" w:hAnsi="Garamond"/>
          <w:b/>
          <w:smallCaps/>
          <w:sz w:val="24"/>
          <w:szCs w:val="24"/>
        </w:rPr>
        <w:t xml:space="preserve">eports </w:t>
      </w:r>
    </w:p>
    <w:p w:rsidR="00616971" w:rsidRPr="008B4564" w:rsidRDefault="00616971" w:rsidP="008B4564">
      <w:pPr>
        <w:pStyle w:val="NormalWeb"/>
        <w:spacing w:before="2" w:after="2"/>
        <w:jc w:val="center"/>
        <w:rPr>
          <w:rFonts w:ascii="Garamond" w:hAnsi="Garamond"/>
          <w:b/>
          <w:smallCaps/>
          <w:sz w:val="24"/>
          <w:szCs w:val="24"/>
        </w:rPr>
      </w:pPr>
      <w:r w:rsidRPr="008B4564">
        <w:rPr>
          <w:rFonts w:ascii="Garamond" w:hAnsi="Garamond"/>
          <w:b/>
          <w:smallCaps/>
          <w:sz w:val="24"/>
          <w:szCs w:val="24"/>
        </w:rPr>
        <w:t>Not Effective for Understanding Ambulance Costs</w:t>
      </w:r>
    </w:p>
    <w:p w:rsidR="00660FC8" w:rsidRDefault="00660FC8" w:rsidP="00940D01">
      <w:pPr>
        <w:pStyle w:val="NormalWeb"/>
        <w:spacing w:before="2" w:after="2"/>
        <w:rPr>
          <w:rFonts w:ascii="Garamond" w:hAnsi="Garamond"/>
          <w:sz w:val="24"/>
          <w:szCs w:val="24"/>
        </w:rPr>
      </w:pPr>
    </w:p>
    <w:p w:rsidR="00A3542D" w:rsidRPr="008B4564" w:rsidRDefault="00940D01" w:rsidP="00940D01">
      <w:pPr>
        <w:pStyle w:val="NormalWeb"/>
        <w:spacing w:before="2" w:after="2"/>
        <w:rPr>
          <w:rFonts w:ascii="Garamond" w:hAnsi="Garamond"/>
          <w:sz w:val="24"/>
          <w:szCs w:val="24"/>
        </w:rPr>
      </w:pPr>
      <w:r w:rsidRPr="008B4564">
        <w:rPr>
          <w:rFonts w:ascii="Garamond" w:hAnsi="Garamond"/>
          <w:sz w:val="24"/>
          <w:szCs w:val="24"/>
        </w:rPr>
        <w:t>Acumen reviewed cost report data and determined that only the hospita</w:t>
      </w:r>
      <w:r w:rsidR="001555CE">
        <w:rPr>
          <w:rFonts w:ascii="Garamond" w:hAnsi="Garamond"/>
          <w:sz w:val="24"/>
          <w:szCs w:val="24"/>
        </w:rPr>
        <w:t>l and CAH cost reports contain</w:t>
      </w:r>
      <w:r w:rsidRPr="008B4564">
        <w:rPr>
          <w:rFonts w:ascii="Garamond" w:hAnsi="Garamond"/>
          <w:sz w:val="24"/>
          <w:szCs w:val="24"/>
        </w:rPr>
        <w:t xml:space="preserve"> sufficient data on ambulance providers.  </w:t>
      </w:r>
    </w:p>
    <w:p w:rsidR="00A3542D" w:rsidRPr="008B4564" w:rsidRDefault="00A3542D" w:rsidP="00940D01">
      <w:pPr>
        <w:pStyle w:val="NormalWeb"/>
        <w:spacing w:before="2" w:after="2"/>
        <w:rPr>
          <w:rFonts w:ascii="Garamond" w:hAnsi="Garamond"/>
          <w:sz w:val="24"/>
          <w:szCs w:val="24"/>
        </w:rPr>
      </w:pPr>
    </w:p>
    <w:p w:rsidR="00AF2DA2" w:rsidRDefault="00A3542D" w:rsidP="00AF2DA2">
      <w:pPr>
        <w:pStyle w:val="NormalWeb"/>
        <w:numPr>
          <w:ilvl w:val="0"/>
          <w:numId w:val="1"/>
        </w:numPr>
        <w:spacing w:before="2" w:after="2"/>
        <w:rPr>
          <w:rFonts w:ascii="Garamond" w:hAnsi="Garamond"/>
        </w:rPr>
      </w:pPr>
      <w:r w:rsidRPr="008B4564">
        <w:rPr>
          <w:rFonts w:ascii="Garamond" w:hAnsi="Garamond"/>
          <w:sz w:val="24"/>
          <w:szCs w:val="24"/>
        </w:rPr>
        <w:t xml:space="preserve">Medicare cost reports provide insight into a small and non-representative sample of all ambulance services. Over 90 percent of the entities that bill Medicare for ambulance services are not represented in the cost reports, because they are not owned and operated by an institution, such as a hospital, that is required to submit the annual reports. </w:t>
      </w:r>
    </w:p>
    <w:p w:rsidR="00A3542D" w:rsidRPr="00AF2DA2" w:rsidRDefault="00A3542D" w:rsidP="00AF2DA2">
      <w:pPr>
        <w:pStyle w:val="NormalWeb"/>
        <w:spacing w:before="2" w:after="2"/>
        <w:ind w:left="720"/>
        <w:rPr>
          <w:rFonts w:ascii="Garamond" w:hAnsi="Garamond"/>
        </w:rPr>
      </w:pPr>
    </w:p>
    <w:p w:rsidR="00A3542D" w:rsidRPr="008B4564" w:rsidRDefault="00A3542D" w:rsidP="00A3542D">
      <w:pPr>
        <w:pStyle w:val="NormalWeb"/>
        <w:numPr>
          <w:ilvl w:val="0"/>
          <w:numId w:val="1"/>
        </w:numPr>
        <w:spacing w:before="2" w:after="2"/>
        <w:rPr>
          <w:rFonts w:ascii="Garamond" w:hAnsi="Garamond"/>
        </w:rPr>
      </w:pPr>
      <w:r w:rsidRPr="008B4564">
        <w:rPr>
          <w:rFonts w:ascii="Garamond" w:hAnsi="Garamond"/>
          <w:sz w:val="24"/>
          <w:szCs w:val="24"/>
        </w:rPr>
        <w:t xml:space="preserve">Cost reports lack information on the types, levels, and travel distances for ambulance services, which is critical to evaluating ambulance payment policy as current payments are based on these distinctions. </w:t>
      </w:r>
    </w:p>
    <w:p w:rsidR="00AF2DA2" w:rsidRDefault="00AF2DA2" w:rsidP="00AF2DA2">
      <w:pPr>
        <w:pStyle w:val="NormalWeb"/>
        <w:spacing w:before="2" w:after="2"/>
        <w:rPr>
          <w:rFonts w:ascii="Garamond" w:hAnsi="Garamond"/>
          <w:b/>
          <w:smallCaps/>
          <w:sz w:val="24"/>
          <w:szCs w:val="24"/>
        </w:rPr>
      </w:pPr>
    </w:p>
    <w:p w:rsidR="00660FC8" w:rsidRDefault="00660FC8" w:rsidP="00660FC8">
      <w:pPr>
        <w:pStyle w:val="NormalWeb"/>
        <w:spacing w:before="2" w:after="2"/>
        <w:rPr>
          <w:rFonts w:ascii="Garamond" w:hAnsi="Garamond"/>
          <w:b/>
          <w:smallCaps/>
          <w:sz w:val="24"/>
          <w:szCs w:val="24"/>
        </w:rPr>
      </w:pPr>
    </w:p>
    <w:p w:rsidR="00AF2DA2" w:rsidRDefault="0068789A" w:rsidP="00FB49C2">
      <w:pPr>
        <w:pStyle w:val="NormalWeb"/>
        <w:spacing w:before="2" w:after="2"/>
        <w:jc w:val="center"/>
        <w:rPr>
          <w:rFonts w:ascii="Garamond" w:hAnsi="Garamond"/>
          <w:b/>
          <w:smallCaps/>
          <w:sz w:val="24"/>
          <w:szCs w:val="24"/>
        </w:rPr>
      </w:pPr>
      <w:r w:rsidRPr="008B4564">
        <w:rPr>
          <w:rFonts w:ascii="Garamond" w:hAnsi="Garamond"/>
          <w:b/>
          <w:smallCaps/>
          <w:sz w:val="24"/>
          <w:szCs w:val="24"/>
        </w:rPr>
        <w:lastRenderedPageBreak/>
        <w:t>Feasibility of Obtaining Cost Data</w:t>
      </w:r>
      <w:r w:rsidR="00FB49C2" w:rsidRPr="008B4564">
        <w:rPr>
          <w:rFonts w:ascii="Garamond" w:hAnsi="Garamond"/>
          <w:b/>
          <w:smallCaps/>
          <w:sz w:val="24"/>
          <w:szCs w:val="24"/>
        </w:rPr>
        <w:t xml:space="preserve"> </w:t>
      </w:r>
    </w:p>
    <w:p w:rsidR="00FB49C2" w:rsidRPr="008B4564" w:rsidRDefault="00FB49C2" w:rsidP="00FB49C2">
      <w:pPr>
        <w:pStyle w:val="NormalWeb"/>
        <w:spacing w:before="2" w:after="2"/>
        <w:jc w:val="center"/>
        <w:rPr>
          <w:rFonts w:ascii="Garamond" w:hAnsi="Garamond"/>
          <w:b/>
          <w:smallCaps/>
          <w:sz w:val="24"/>
          <w:szCs w:val="24"/>
        </w:rPr>
      </w:pPr>
      <w:r w:rsidRPr="008B4564">
        <w:rPr>
          <w:rFonts w:ascii="Garamond" w:hAnsi="Garamond"/>
          <w:b/>
          <w:smallCaps/>
          <w:sz w:val="24"/>
          <w:szCs w:val="24"/>
        </w:rPr>
        <w:t>Requires Tailored Collection Tool</w:t>
      </w:r>
    </w:p>
    <w:p w:rsidR="00660FC8" w:rsidRDefault="00660FC8" w:rsidP="00BE78C9">
      <w:pPr>
        <w:pStyle w:val="NormalWeb"/>
        <w:spacing w:before="2" w:after="2"/>
        <w:rPr>
          <w:rFonts w:ascii="Garamond" w:hAnsi="Garamond"/>
          <w:sz w:val="24"/>
        </w:rPr>
      </w:pPr>
    </w:p>
    <w:p w:rsidR="00A34D53" w:rsidRPr="008B4564" w:rsidRDefault="00A3542D" w:rsidP="00BE78C9">
      <w:pPr>
        <w:pStyle w:val="NormalWeb"/>
        <w:spacing w:before="2" w:after="2"/>
        <w:rPr>
          <w:rFonts w:ascii="Garamond" w:hAnsi="Garamond"/>
          <w:sz w:val="24"/>
        </w:rPr>
      </w:pPr>
      <w:r w:rsidRPr="008B4564">
        <w:rPr>
          <w:rFonts w:ascii="Garamond" w:hAnsi="Garamond"/>
          <w:sz w:val="24"/>
        </w:rPr>
        <w:t xml:space="preserve">Acumen also reviewed the feasibility of </w:t>
      </w:r>
      <w:r w:rsidR="00BE78C9" w:rsidRPr="008B4564">
        <w:rPr>
          <w:rFonts w:ascii="Garamond" w:hAnsi="Garamond"/>
          <w:sz w:val="24"/>
        </w:rPr>
        <w:t xml:space="preserve">obtaining more complete and detailed cost data on a periodic basis from </w:t>
      </w:r>
      <w:r w:rsidR="008B0609" w:rsidRPr="008B4564">
        <w:rPr>
          <w:rFonts w:ascii="Garamond" w:hAnsi="Garamond"/>
          <w:sz w:val="24"/>
        </w:rPr>
        <w:t>the more than 11,000</w:t>
      </w:r>
      <w:r w:rsidR="00BE78C9" w:rsidRPr="008B4564">
        <w:rPr>
          <w:rFonts w:ascii="Garamond" w:hAnsi="Garamond"/>
          <w:sz w:val="24"/>
        </w:rPr>
        <w:t xml:space="preserve"> ambulance providers and suppliers.  While it concluded that it is “challenging” to obtain data from ambulance services, it also described what would be needed to develop such a collection tool.</w:t>
      </w:r>
    </w:p>
    <w:p w:rsidR="00A34D53" w:rsidRPr="008B4564" w:rsidRDefault="00A34D53" w:rsidP="00BE78C9">
      <w:pPr>
        <w:pStyle w:val="NormalWeb"/>
        <w:spacing w:before="2" w:after="2"/>
        <w:rPr>
          <w:rFonts w:ascii="Garamond" w:hAnsi="Garamond"/>
          <w:sz w:val="24"/>
        </w:rPr>
      </w:pPr>
    </w:p>
    <w:p w:rsidR="00F45F84" w:rsidRPr="008B4564" w:rsidRDefault="00A34D53" w:rsidP="00A34D53">
      <w:pPr>
        <w:pStyle w:val="NormalWeb"/>
        <w:numPr>
          <w:ilvl w:val="0"/>
          <w:numId w:val="2"/>
        </w:numPr>
        <w:spacing w:before="2" w:after="2"/>
        <w:rPr>
          <w:rFonts w:ascii="Garamond" w:hAnsi="Garamond"/>
        </w:rPr>
      </w:pPr>
      <w:r w:rsidRPr="008B4564">
        <w:rPr>
          <w:rFonts w:ascii="Garamond" w:hAnsi="Garamond"/>
          <w:sz w:val="24"/>
          <w:szCs w:val="24"/>
        </w:rPr>
        <w:t xml:space="preserve">Ambulance services are labor intensive, so any cost reporting mechanism should collect wage information on the key categories of labor in the industry in a </w:t>
      </w:r>
      <w:r w:rsidR="001555CE">
        <w:rPr>
          <w:rFonts w:ascii="Garamond" w:hAnsi="Garamond"/>
          <w:sz w:val="24"/>
          <w:szCs w:val="24"/>
        </w:rPr>
        <w:t>manner that allows CMS</w:t>
      </w:r>
      <w:r w:rsidRPr="008B4564">
        <w:rPr>
          <w:rFonts w:ascii="Garamond" w:hAnsi="Garamond"/>
          <w:sz w:val="24"/>
          <w:szCs w:val="24"/>
        </w:rPr>
        <w:t xml:space="preserve"> to assess geographic variations in wage costs. </w:t>
      </w:r>
    </w:p>
    <w:p w:rsidR="00A34D53" w:rsidRPr="008B4564" w:rsidRDefault="00A34D53" w:rsidP="00F45F84">
      <w:pPr>
        <w:pStyle w:val="NormalWeb"/>
        <w:spacing w:before="2" w:after="2"/>
        <w:ind w:left="720"/>
        <w:rPr>
          <w:rFonts w:ascii="Garamond" w:hAnsi="Garamond"/>
        </w:rPr>
      </w:pPr>
    </w:p>
    <w:p w:rsidR="00A34D53" w:rsidRPr="008B4564" w:rsidRDefault="00A34D53" w:rsidP="00A34D53">
      <w:pPr>
        <w:pStyle w:val="NormalWeb"/>
        <w:numPr>
          <w:ilvl w:val="0"/>
          <w:numId w:val="2"/>
        </w:numPr>
        <w:spacing w:before="2" w:after="2"/>
        <w:rPr>
          <w:rFonts w:ascii="Garamond" w:hAnsi="Garamond"/>
        </w:rPr>
      </w:pPr>
      <w:r w:rsidRPr="008B4564">
        <w:rPr>
          <w:rFonts w:ascii="Garamond" w:hAnsi="Garamond"/>
          <w:sz w:val="24"/>
          <w:szCs w:val="24"/>
        </w:rPr>
        <w:t xml:space="preserve">The importance of the costs of readiness and differing call volumes require any cost reporting mechanism to </w:t>
      </w:r>
      <w:r w:rsidR="001555CE">
        <w:rPr>
          <w:rFonts w:ascii="Garamond" w:hAnsi="Garamond"/>
          <w:sz w:val="24"/>
          <w:szCs w:val="24"/>
        </w:rPr>
        <w:t>include</w:t>
      </w:r>
      <w:r w:rsidRPr="008B4564">
        <w:rPr>
          <w:rFonts w:ascii="Garamond" w:hAnsi="Garamond"/>
          <w:sz w:val="24"/>
          <w:szCs w:val="24"/>
        </w:rPr>
        <w:t xml:space="preserve"> information on calls per staffed hour (or a similar capacity-utilization measure) and in relation to a geographical area (for example urban versus rural ZIP codes)</w:t>
      </w:r>
      <w:r w:rsidR="001555CE">
        <w:rPr>
          <w:rFonts w:ascii="Garamond" w:hAnsi="Garamond"/>
          <w:sz w:val="24"/>
          <w:szCs w:val="24"/>
        </w:rPr>
        <w:t>.</w:t>
      </w:r>
    </w:p>
    <w:p w:rsidR="00E06E99" w:rsidRPr="008B4564" w:rsidRDefault="00E06E99" w:rsidP="00E06E99">
      <w:pPr>
        <w:pStyle w:val="NormalWeb"/>
        <w:spacing w:before="2" w:after="2"/>
        <w:ind w:left="720"/>
        <w:rPr>
          <w:rFonts w:ascii="Garamond" w:hAnsi="Garamond"/>
        </w:rPr>
      </w:pPr>
    </w:p>
    <w:p w:rsidR="00646C2B" w:rsidRPr="008B4564" w:rsidRDefault="00E06E99" w:rsidP="00E06E99">
      <w:pPr>
        <w:pStyle w:val="NormalWeb"/>
        <w:numPr>
          <w:ilvl w:val="0"/>
          <w:numId w:val="2"/>
        </w:numPr>
        <w:spacing w:before="2" w:after="2"/>
        <w:rPr>
          <w:rFonts w:ascii="Garamond" w:hAnsi="Garamond"/>
        </w:rPr>
      </w:pPr>
      <w:r w:rsidRPr="008B4564">
        <w:rPr>
          <w:rFonts w:ascii="Garamond" w:hAnsi="Garamond"/>
          <w:sz w:val="24"/>
          <w:szCs w:val="24"/>
        </w:rPr>
        <w:t xml:space="preserve">The wide variety of characteristics of ambulance providers and suppliers </w:t>
      </w:r>
      <w:r w:rsidR="00646C2B" w:rsidRPr="008B4564">
        <w:rPr>
          <w:rFonts w:ascii="Garamond" w:hAnsi="Garamond"/>
          <w:sz w:val="24"/>
          <w:szCs w:val="24"/>
        </w:rPr>
        <w:t>that Acumen’s analysis revealed require any cost reporting mechanism to account for these differences.</w:t>
      </w:r>
      <w:r w:rsidRPr="008B4564">
        <w:rPr>
          <w:rFonts w:ascii="Garamond" w:hAnsi="Garamond"/>
          <w:sz w:val="24"/>
          <w:szCs w:val="24"/>
        </w:rPr>
        <w:t xml:space="preserve"> </w:t>
      </w:r>
    </w:p>
    <w:p w:rsidR="00646C2B" w:rsidRPr="008B4564" w:rsidRDefault="00646C2B" w:rsidP="00646C2B">
      <w:pPr>
        <w:pStyle w:val="NormalWeb"/>
        <w:spacing w:before="2" w:after="2"/>
        <w:rPr>
          <w:rFonts w:ascii="Garamond" w:hAnsi="Garamond"/>
        </w:rPr>
      </w:pPr>
    </w:p>
    <w:p w:rsidR="00646C2B" w:rsidRPr="008B4564" w:rsidRDefault="00646C2B" w:rsidP="00646C2B">
      <w:pPr>
        <w:pStyle w:val="NormalWeb"/>
        <w:numPr>
          <w:ilvl w:val="0"/>
          <w:numId w:val="2"/>
        </w:numPr>
        <w:spacing w:before="2" w:after="2"/>
        <w:rPr>
          <w:rFonts w:ascii="Garamond" w:hAnsi="Garamond"/>
        </w:rPr>
      </w:pPr>
      <w:r w:rsidRPr="008B4564">
        <w:rPr>
          <w:rFonts w:ascii="Garamond" w:hAnsi="Garamond"/>
          <w:sz w:val="24"/>
          <w:szCs w:val="24"/>
        </w:rPr>
        <w:t xml:space="preserve">Smaller, rural, and super-rural providers and suppliers must be represented in any cost reporting mechanism. </w:t>
      </w:r>
    </w:p>
    <w:p w:rsidR="00646C2B" w:rsidRPr="008B4564" w:rsidRDefault="00646C2B" w:rsidP="00646C2B">
      <w:pPr>
        <w:pStyle w:val="NormalWeb"/>
        <w:spacing w:before="2" w:after="2"/>
        <w:rPr>
          <w:rFonts w:ascii="Garamond" w:hAnsi="Garamond"/>
          <w:sz w:val="24"/>
          <w:szCs w:val="24"/>
        </w:rPr>
      </w:pPr>
    </w:p>
    <w:p w:rsidR="00E06E99" w:rsidRPr="008B4564" w:rsidRDefault="00646C2B" w:rsidP="00646C2B">
      <w:pPr>
        <w:pStyle w:val="NormalWeb"/>
        <w:numPr>
          <w:ilvl w:val="0"/>
          <w:numId w:val="2"/>
        </w:numPr>
        <w:spacing w:before="2" w:after="2"/>
        <w:rPr>
          <w:rFonts w:ascii="Garamond" w:hAnsi="Garamond"/>
        </w:rPr>
      </w:pPr>
      <w:r w:rsidRPr="008B4564">
        <w:rPr>
          <w:rFonts w:ascii="Garamond" w:hAnsi="Garamond"/>
          <w:sz w:val="24"/>
          <w:szCs w:val="24"/>
        </w:rPr>
        <w:t>The current lack of standardization requires the standardization of</w:t>
      </w:r>
      <w:r w:rsidR="00E06E99" w:rsidRPr="008B4564">
        <w:rPr>
          <w:rFonts w:ascii="Garamond" w:hAnsi="Garamond"/>
          <w:sz w:val="24"/>
          <w:szCs w:val="24"/>
        </w:rPr>
        <w:t xml:space="preserve"> cost measures</w:t>
      </w:r>
      <w:r w:rsidRPr="008B4564">
        <w:rPr>
          <w:rFonts w:ascii="Garamond" w:hAnsi="Garamond"/>
          <w:sz w:val="24"/>
          <w:szCs w:val="24"/>
        </w:rPr>
        <w:t>.</w:t>
      </w:r>
      <w:r w:rsidR="00E06E99" w:rsidRPr="008B4564">
        <w:rPr>
          <w:rFonts w:ascii="Garamond" w:hAnsi="Garamond"/>
          <w:sz w:val="24"/>
          <w:szCs w:val="24"/>
        </w:rPr>
        <w:t xml:space="preserve"> </w:t>
      </w:r>
    </w:p>
    <w:p w:rsidR="00616971" w:rsidRPr="008B4564" w:rsidRDefault="00616971" w:rsidP="00BE78C9">
      <w:pPr>
        <w:pStyle w:val="NormalWeb"/>
        <w:spacing w:before="2" w:after="2"/>
        <w:rPr>
          <w:rFonts w:ascii="Garamond" w:hAnsi="Garamond"/>
          <w:sz w:val="24"/>
        </w:rPr>
      </w:pPr>
    </w:p>
    <w:p w:rsidR="002D447C" w:rsidRPr="008B4564" w:rsidRDefault="00F7387A" w:rsidP="00FB49C2">
      <w:pPr>
        <w:jc w:val="center"/>
        <w:rPr>
          <w:rFonts w:ascii="Garamond" w:hAnsi="Garamond"/>
          <w:b/>
          <w:smallCaps/>
        </w:rPr>
      </w:pPr>
      <w:r w:rsidRPr="008B4564">
        <w:rPr>
          <w:rFonts w:ascii="Garamond" w:hAnsi="Garamond"/>
          <w:b/>
          <w:smallCaps/>
        </w:rPr>
        <w:t>The AAA’</w:t>
      </w:r>
      <w:r w:rsidR="002D447C" w:rsidRPr="008B4564">
        <w:rPr>
          <w:rFonts w:ascii="Garamond" w:hAnsi="Garamond"/>
          <w:b/>
          <w:smallCaps/>
        </w:rPr>
        <w:t xml:space="preserve">s Hybrid Method Addresses These </w:t>
      </w:r>
      <w:r w:rsidR="00FB49C2" w:rsidRPr="008B4564">
        <w:rPr>
          <w:rFonts w:ascii="Garamond" w:hAnsi="Garamond"/>
          <w:b/>
          <w:smallCaps/>
        </w:rPr>
        <w:t>Needs</w:t>
      </w:r>
    </w:p>
    <w:p w:rsidR="00660FC8" w:rsidRDefault="00660FC8" w:rsidP="00703B36">
      <w:pPr>
        <w:rPr>
          <w:rFonts w:ascii="Garamond" w:hAnsi="Garamond"/>
        </w:rPr>
      </w:pPr>
    </w:p>
    <w:p w:rsidR="002D447C" w:rsidRPr="008B4564" w:rsidRDefault="002D447C" w:rsidP="00703B36">
      <w:pPr>
        <w:rPr>
          <w:rFonts w:ascii="Garamond" w:hAnsi="Garamond"/>
        </w:rPr>
      </w:pPr>
      <w:r w:rsidRPr="008B4564">
        <w:rPr>
          <w:rFonts w:ascii="Garamond" w:hAnsi="Garamond"/>
        </w:rPr>
        <w:t xml:space="preserve">Acumen also describes the AAA’s hybrid cost collection method, but did not specifically opine on it.  </w:t>
      </w:r>
      <w:r w:rsidR="0005777A">
        <w:rPr>
          <w:rFonts w:ascii="Garamond" w:hAnsi="Garamond"/>
        </w:rPr>
        <w:t>The</w:t>
      </w:r>
      <w:r w:rsidRPr="008B4564">
        <w:rPr>
          <w:rFonts w:ascii="Garamond" w:hAnsi="Garamond"/>
        </w:rPr>
        <w:t xml:space="preserve"> hybrid method addresses the core elements Acumen concluded were necessary to obtain more complete and detailed cost data from ambulance services.</w:t>
      </w:r>
    </w:p>
    <w:p w:rsidR="0007483B" w:rsidRPr="008B4564" w:rsidRDefault="0007483B" w:rsidP="0007483B">
      <w:pPr>
        <w:rPr>
          <w:rFonts w:ascii="Garamond" w:hAnsi="Garamond"/>
        </w:rPr>
      </w:pPr>
    </w:p>
    <w:p w:rsidR="00503A8F" w:rsidRPr="008B4564" w:rsidRDefault="0007483B" w:rsidP="0007483B">
      <w:pPr>
        <w:pStyle w:val="NormalWeb"/>
        <w:numPr>
          <w:ilvl w:val="0"/>
          <w:numId w:val="4"/>
        </w:numPr>
        <w:spacing w:before="2" w:after="2"/>
        <w:rPr>
          <w:rFonts w:ascii="Garamond" w:hAnsi="Garamond"/>
        </w:rPr>
      </w:pPr>
      <w:r w:rsidRPr="008B4564">
        <w:rPr>
          <w:rFonts w:ascii="Garamond" w:hAnsi="Garamond"/>
          <w:b/>
          <w:sz w:val="24"/>
          <w:szCs w:val="24"/>
        </w:rPr>
        <w:t xml:space="preserve">Initial data collection:  </w:t>
      </w:r>
      <w:r w:rsidRPr="008B4564">
        <w:rPr>
          <w:rFonts w:ascii="Garamond" w:hAnsi="Garamond"/>
          <w:sz w:val="24"/>
          <w:szCs w:val="24"/>
        </w:rPr>
        <w:t xml:space="preserve">This step would identify key characteristics relevant to collecting cost data, </w:t>
      </w:r>
      <w:r w:rsidRPr="008B4564">
        <w:rPr>
          <w:rFonts w:ascii="Garamond" w:hAnsi="Garamond"/>
          <w:i/>
          <w:sz w:val="24"/>
          <w:szCs w:val="24"/>
        </w:rPr>
        <w:t>i.e.,</w:t>
      </w:r>
      <w:r w:rsidRPr="008B4564">
        <w:rPr>
          <w:rFonts w:ascii="Garamond" w:hAnsi="Garamond"/>
          <w:sz w:val="24"/>
          <w:szCs w:val="24"/>
        </w:rPr>
        <w:t xml:space="preserve"> organizational type, service mix, service volume, and labor costs, and classify providers and suppliers based on these characteristics. All ambulance services would provide these data at the same time.</w:t>
      </w:r>
    </w:p>
    <w:p w:rsidR="0007483B" w:rsidRPr="008B4564" w:rsidRDefault="0007483B" w:rsidP="00503A8F">
      <w:pPr>
        <w:pStyle w:val="NormalWeb"/>
        <w:spacing w:before="2" w:after="2"/>
        <w:ind w:left="720"/>
        <w:rPr>
          <w:rFonts w:ascii="Garamond" w:hAnsi="Garamond"/>
        </w:rPr>
      </w:pPr>
    </w:p>
    <w:p w:rsidR="002D447C" w:rsidRPr="00660FC8" w:rsidRDefault="0007483B" w:rsidP="00703B36">
      <w:pPr>
        <w:pStyle w:val="NormalWeb"/>
        <w:numPr>
          <w:ilvl w:val="0"/>
          <w:numId w:val="4"/>
        </w:numPr>
        <w:spacing w:before="2" w:after="2"/>
        <w:rPr>
          <w:rFonts w:ascii="Garamond" w:hAnsi="Garamond"/>
        </w:rPr>
      </w:pPr>
      <w:r w:rsidRPr="008B4564">
        <w:rPr>
          <w:rFonts w:ascii="Garamond" w:hAnsi="Garamond"/>
          <w:b/>
          <w:sz w:val="24"/>
          <w:szCs w:val="24"/>
        </w:rPr>
        <w:t>Cost survey collection:</w:t>
      </w:r>
      <w:r w:rsidRPr="008B4564">
        <w:rPr>
          <w:rFonts w:ascii="Garamond" w:hAnsi="Garamond"/>
          <w:sz w:val="24"/>
          <w:szCs w:val="24"/>
        </w:rPr>
        <w:t xml:space="preserve">  This second in-depth survey of financial information, similar to that now collected on CMS’s cost reports, </w:t>
      </w:r>
      <w:r w:rsidR="001555CE">
        <w:rPr>
          <w:rFonts w:ascii="Garamond" w:hAnsi="Garamond"/>
          <w:sz w:val="24"/>
          <w:szCs w:val="24"/>
        </w:rPr>
        <w:t xml:space="preserve">but tailored to address the unique aspects of ambulance service costs, </w:t>
      </w:r>
      <w:r w:rsidRPr="008B4564">
        <w:rPr>
          <w:rFonts w:ascii="Garamond" w:hAnsi="Garamond"/>
          <w:sz w:val="24"/>
          <w:szCs w:val="24"/>
        </w:rPr>
        <w:t xml:space="preserve">would be collected from a sample of </w:t>
      </w:r>
      <w:r w:rsidR="007D13C4">
        <w:rPr>
          <w:rFonts w:ascii="Garamond" w:hAnsi="Garamond"/>
          <w:sz w:val="24"/>
          <w:szCs w:val="24"/>
        </w:rPr>
        <w:t>ambulance services</w:t>
      </w:r>
      <w:r w:rsidRPr="008B4564">
        <w:rPr>
          <w:rFonts w:ascii="Garamond" w:hAnsi="Garamond"/>
          <w:sz w:val="24"/>
          <w:szCs w:val="24"/>
        </w:rPr>
        <w:t xml:space="preserve"> based on the classifications made</w:t>
      </w:r>
      <w:r w:rsidR="007D13C4">
        <w:rPr>
          <w:rFonts w:ascii="Garamond" w:hAnsi="Garamond"/>
          <w:sz w:val="24"/>
          <w:szCs w:val="24"/>
        </w:rPr>
        <w:t xml:space="preserve"> after the initial data collection</w:t>
      </w:r>
      <w:r w:rsidRPr="008B4564">
        <w:rPr>
          <w:rFonts w:ascii="Garamond" w:hAnsi="Garamond"/>
          <w:sz w:val="24"/>
          <w:szCs w:val="24"/>
        </w:rPr>
        <w:t xml:space="preserve">. This second </w:t>
      </w:r>
      <w:r w:rsidR="007D13C4">
        <w:rPr>
          <w:rFonts w:ascii="Garamond" w:hAnsi="Garamond"/>
          <w:sz w:val="24"/>
          <w:szCs w:val="24"/>
        </w:rPr>
        <w:t>collection tool</w:t>
      </w:r>
      <w:r w:rsidRPr="008B4564">
        <w:rPr>
          <w:rFonts w:ascii="Garamond" w:hAnsi="Garamond"/>
          <w:sz w:val="24"/>
          <w:szCs w:val="24"/>
        </w:rPr>
        <w:t xml:space="preserve"> would be the basis of the periodic collection of statistical and cost data from this sample of ambulance </w:t>
      </w:r>
      <w:r w:rsidR="007D13C4">
        <w:rPr>
          <w:rFonts w:ascii="Garamond" w:hAnsi="Garamond"/>
          <w:sz w:val="24"/>
          <w:szCs w:val="24"/>
        </w:rPr>
        <w:t>services</w:t>
      </w:r>
      <w:r w:rsidRPr="008B4564">
        <w:rPr>
          <w:rFonts w:ascii="Garamond" w:hAnsi="Garamond"/>
          <w:sz w:val="24"/>
          <w:szCs w:val="24"/>
        </w:rPr>
        <w:t xml:space="preserve">. </w:t>
      </w:r>
      <w:r w:rsidR="000C0EF6" w:rsidRPr="008B4564">
        <w:rPr>
          <w:rFonts w:ascii="Garamond" w:hAnsi="Garamond"/>
          <w:sz w:val="24"/>
          <w:szCs w:val="24"/>
        </w:rPr>
        <w:t xml:space="preserve"> Over time, all 11,000 ambulance services would be required to report these data, but it would be in different years to reduce the burden on services and CMS.</w:t>
      </w:r>
    </w:p>
    <w:p w:rsidR="00660FC8" w:rsidRPr="00660FC8" w:rsidRDefault="00660FC8" w:rsidP="00660FC8">
      <w:pPr>
        <w:pStyle w:val="NormalWeb"/>
        <w:spacing w:before="2" w:after="2"/>
        <w:rPr>
          <w:rFonts w:ascii="Garamond" w:hAnsi="Garamond"/>
        </w:rPr>
      </w:pPr>
    </w:p>
    <w:p w:rsidR="00660FC8" w:rsidRPr="00660FC8" w:rsidRDefault="002D447C">
      <w:pPr>
        <w:rPr>
          <w:rFonts w:ascii="Garamond" w:hAnsi="Garamond"/>
        </w:rPr>
      </w:pPr>
      <w:r w:rsidRPr="008B4564">
        <w:rPr>
          <w:rFonts w:ascii="Garamond" w:hAnsi="Garamond"/>
        </w:rPr>
        <w:lastRenderedPageBreak/>
        <w:t>To address the difficulty Acumen had in having ambulance services respond, the AAA supports a 5 percent penalty for any ambulance service selected to provide cost data that does not submit the data.</w:t>
      </w:r>
    </w:p>
    <w:sectPr w:rsidR="00660FC8" w:rsidRPr="00660FC8" w:rsidSect="00660FC8">
      <w:pgSz w:w="12240" w:h="15840"/>
      <w:pgMar w:top="144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헤드라인A">
    <w:altName w:val="Arial Unicode MS"/>
    <w:charset w:val="4F"/>
    <w:family w:val="auto"/>
    <w:pitch w:val="variable"/>
    <w:sig w:usb0="00000000"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DF3"/>
    <w:multiLevelType w:val="hybridMultilevel"/>
    <w:tmpl w:val="12EA0CAA"/>
    <w:lvl w:ilvl="0" w:tplc="C542109A">
      <w:start w:val="1"/>
      <w:numFmt w:val="bullet"/>
      <w:lvlText w:val="•"/>
      <w:lvlJc w:val="left"/>
      <w:pPr>
        <w:ind w:left="720" w:hanging="360"/>
      </w:pPr>
      <w:rPr>
        <w:rFonts w:ascii="헤드라인A" w:hAnsi="헤드라인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3783E"/>
    <w:multiLevelType w:val="hybridMultilevel"/>
    <w:tmpl w:val="56A20774"/>
    <w:lvl w:ilvl="0" w:tplc="C542109A">
      <w:start w:val="1"/>
      <w:numFmt w:val="bullet"/>
      <w:lvlText w:val="•"/>
      <w:lvlJc w:val="left"/>
      <w:pPr>
        <w:ind w:left="720" w:hanging="360"/>
      </w:pPr>
      <w:rPr>
        <w:rFonts w:ascii="헤드라인A" w:hAnsi="헤드라인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F464F"/>
    <w:multiLevelType w:val="hybridMultilevel"/>
    <w:tmpl w:val="162A9F2C"/>
    <w:lvl w:ilvl="0" w:tplc="C542109A">
      <w:start w:val="1"/>
      <w:numFmt w:val="bullet"/>
      <w:lvlText w:val="•"/>
      <w:lvlJc w:val="left"/>
      <w:pPr>
        <w:ind w:left="720" w:hanging="360"/>
      </w:pPr>
      <w:rPr>
        <w:rFonts w:ascii="헤드라인A" w:hAnsi="헤드라인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C6448"/>
    <w:multiLevelType w:val="hybridMultilevel"/>
    <w:tmpl w:val="EA8C8548"/>
    <w:lvl w:ilvl="0" w:tplc="C542109A">
      <w:start w:val="1"/>
      <w:numFmt w:val="bullet"/>
      <w:lvlText w:val="•"/>
      <w:lvlJc w:val="left"/>
      <w:pPr>
        <w:ind w:left="360" w:hanging="360"/>
      </w:pPr>
      <w:rPr>
        <w:rFonts w:ascii="헤드라인A" w:hAnsi="헤드라인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CE13C1"/>
    <w:multiLevelType w:val="hybridMultilevel"/>
    <w:tmpl w:val="33B29B18"/>
    <w:lvl w:ilvl="0" w:tplc="C542109A">
      <w:start w:val="1"/>
      <w:numFmt w:val="bullet"/>
      <w:lvlText w:val="•"/>
      <w:lvlJc w:val="left"/>
      <w:pPr>
        <w:ind w:left="720" w:hanging="360"/>
      </w:pPr>
      <w:rPr>
        <w:rFonts w:ascii="헤드라인A" w:hAnsi="헤드라인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E6265"/>
    <w:multiLevelType w:val="multilevel"/>
    <w:tmpl w:val="ED64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B9"/>
    <w:rsid w:val="0005777A"/>
    <w:rsid w:val="0007483B"/>
    <w:rsid w:val="000C0EF6"/>
    <w:rsid w:val="00127E96"/>
    <w:rsid w:val="001555CE"/>
    <w:rsid w:val="002D447C"/>
    <w:rsid w:val="003C7B84"/>
    <w:rsid w:val="004202C4"/>
    <w:rsid w:val="00503A8F"/>
    <w:rsid w:val="00616971"/>
    <w:rsid w:val="00620D2E"/>
    <w:rsid w:val="00646C2B"/>
    <w:rsid w:val="00660FC8"/>
    <w:rsid w:val="0068789A"/>
    <w:rsid w:val="00703B36"/>
    <w:rsid w:val="007211F9"/>
    <w:rsid w:val="007B0330"/>
    <w:rsid w:val="007D13C4"/>
    <w:rsid w:val="0081020B"/>
    <w:rsid w:val="00854214"/>
    <w:rsid w:val="008B0609"/>
    <w:rsid w:val="008B4564"/>
    <w:rsid w:val="00940D01"/>
    <w:rsid w:val="009C0795"/>
    <w:rsid w:val="00A34D53"/>
    <w:rsid w:val="00A3542D"/>
    <w:rsid w:val="00A81F8D"/>
    <w:rsid w:val="00AF2DA2"/>
    <w:rsid w:val="00BE78C9"/>
    <w:rsid w:val="00C17A40"/>
    <w:rsid w:val="00E06E99"/>
    <w:rsid w:val="00F45F84"/>
    <w:rsid w:val="00F7387A"/>
    <w:rsid w:val="00FB49C2"/>
    <w:rsid w:val="00FE7D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BAB1497-26B9-4796-8DE3-0052505C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11F9"/>
    <w:pPr>
      <w:spacing w:beforeLines="1" w:afterLines="1"/>
    </w:pPr>
    <w:rPr>
      <w:rFonts w:ascii="Times" w:hAnsi="Times" w:cs="Times New Roman"/>
      <w:sz w:val="20"/>
      <w:szCs w:val="20"/>
    </w:rPr>
  </w:style>
  <w:style w:type="paragraph" w:styleId="ListParagraph">
    <w:name w:val="List Paragraph"/>
    <w:basedOn w:val="Normal"/>
    <w:rsid w:val="002D4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7494">
      <w:bodyDiv w:val="1"/>
      <w:marLeft w:val="0"/>
      <w:marRight w:val="0"/>
      <w:marTop w:val="0"/>
      <w:marBottom w:val="0"/>
      <w:divBdr>
        <w:top w:val="none" w:sz="0" w:space="0" w:color="auto"/>
        <w:left w:val="none" w:sz="0" w:space="0" w:color="auto"/>
        <w:bottom w:val="none" w:sz="0" w:space="0" w:color="auto"/>
        <w:right w:val="none" w:sz="0" w:space="0" w:color="auto"/>
      </w:divBdr>
      <w:divsChild>
        <w:div w:id="1928146200">
          <w:marLeft w:val="0"/>
          <w:marRight w:val="0"/>
          <w:marTop w:val="0"/>
          <w:marBottom w:val="0"/>
          <w:divBdr>
            <w:top w:val="none" w:sz="0" w:space="0" w:color="auto"/>
            <w:left w:val="none" w:sz="0" w:space="0" w:color="auto"/>
            <w:bottom w:val="none" w:sz="0" w:space="0" w:color="auto"/>
            <w:right w:val="none" w:sz="0" w:space="0" w:color="auto"/>
          </w:divBdr>
          <w:divsChild>
            <w:div w:id="1818524867">
              <w:marLeft w:val="0"/>
              <w:marRight w:val="0"/>
              <w:marTop w:val="0"/>
              <w:marBottom w:val="0"/>
              <w:divBdr>
                <w:top w:val="none" w:sz="0" w:space="0" w:color="auto"/>
                <w:left w:val="none" w:sz="0" w:space="0" w:color="auto"/>
                <w:bottom w:val="none" w:sz="0" w:space="0" w:color="auto"/>
                <w:right w:val="none" w:sz="0" w:space="0" w:color="auto"/>
              </w:divBdr>
              <w:divsChild>
                <w:div w:id="14892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9547">
      <w:bodyDiv w:val="1"/>
      <w:marLeft w:val="0"/>
      <w:marRight w:val="0"/>
      <w:marTop w:val="0"/>
      <w:marBottom w:val="0"/>
      <w:divBdr>
        <w:top w:val="none" w:sz="0" w:space="0" w:color="auto"/>
        <w:left w:val="none" w:sz="0" w:space="0" w:color="auto"/>
        <w:bottom w:val="none" w:sz="0" w:space="0" w:color="auto"/>
        <w:right w:val="none" w:sz="0" w:space="0" w:color="auto"/>
      </w:divBdr>
      <w:divsChild>
        <w:div w:id="252708961">
          <w:marLeft w:val="0"/>
          <w:marRight w:val="0"/>
          <w:marTop w:val="0"/>
          <w:marBottom w:val="0"/>
          <w:divBdr>
            <w:top w:val="none" w:sz="0" w:space="0" w:color="auto"/>
            <w:left w:val="none" w:sz="0" w:space="0" w:color="auto"/>
            <w:bottom w:val="none" w:sz="0" w:space="0" w:color="auto"/>
            <w:right w:val="none" w:sz="0" w:space="0" w:color="auto"/>
          </w:divBdr>
          <w:divsChild>
            <w:div w:id="1874070033">
              <w:marLeft w:val="0"/>
              <w:marRight w:val="0"/>
              <w:marTop w:val="0"/>
              <w:marBottom w:val="0"/>
              <w:divBdr>
                <w:top w:val="none" w:sz="0" w:space="0" w:color="auto"/>
                <w:left w:val="none" w:sz="0" w:space="0" w:color="auto"/>
                <w:bottom w:val="none" w:sz="0" w:space="0" w:color="auto"/>
                <w:right w:val="none" w:sz="0" w:space="0" w:color="auto"/>
              </w:divBdr>
              <w:divsChild>
                <w:div w:id="1809660591">
                  <w:marLeft w:val="0"/>
                  <w:marRight w:val="0"/>
                  <w:marTop w:val="0"/>
                  <w:marBottom w:val="0"/>
                  <w:divBdr>
                    <w:top w:val="none" w:sz="0" w:space="0" w:color="auto"/>
                    <w:left w:val="none" w:sz="0" w:space="0" w:color="auto"/>
                    <w:bottom w:val="none" w:sz="0" w:space="0" w:color="auto"/>
                    <w:right w:val="none" w:sz="0" w:space="0" w:color="auto"/>
                  </w:divBdr>
                </w:div>
              </w:divsChild>
            </w:div>
            <w:div w:id="2135369624">
              <w:marLeft w:val="0"/>
              <w:marRight w:val="0"/>
              <w:marTop w:val="0"/>
              <w:marBottom w:val="0"/>
              <w:divBdr>
                <w:top w:val="none" w:sz="0" w:space="0" w:color="auto"/>
                <w:left w:val="none" w:sz="0" w:space="0" w:color="auto"/>
                <w:bottom w:val="none" w:sz="0" w:space="0" w:color="auto"/>
                <w:right w:val="none" w:sz="0" w:space="0" w:color="auto"/>
              </w:divBdr>
              <w:divsChild>
                <w:div w:id="805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8724">
          <w:marLeft w:val="0"/>
          <w:marRight w:val="0"/>
          <w:marTop w:val="0"/>
          <w:marBottom w:val="0"/>
          <w:divBdr>
            <w:top w:val="none" w:sz="0" w:space="0" w:color="auto"/>
            <w:left w:val="none" w:sz="0" w:space="0" w:color="auto"/>
            <w:bottom w:val="none" w:sz="0" w:space="0" w:color="auto"/>
            <w:right w:val="none" w:sz="0" w:space="0" w:color="auto"/>
          </w:divBdr>
          <w:divsChild>
            <w:div w:id="1716807939">
              <w:marLeft w:val="0"/>
              <w:marRight w:val="0"/>
              <w:marTop w:val="0"/>
              <w:marBottom w:val="0"/>
              <w:divBdr>
                <w:top w:val="none" w:sz="0" w:space="0" w:color="auto"/>
                <w:left w:val="none" w:sz="0" w:space="0" w:color="auto"/>
                <w:bottom w:val="none" w:sz="0" w:space="0" w:color="auto"/>
                <w:right w:val="none" w:sz="0" w:space="0" w:color="auto"/>
              </w:divBdr>
              <w:divsChild>
                <w:div w:id="1791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6369">
      <w:bodyDiv w:val="1"/>
      <w:marLeft w:val="0"/>
      <w:marRight w:val="0"/>
      <w:marTop w:val="0"/>
      <w:marBottom w:val="0"/>
      <w:divBdr>
        <w:top w:val="none" w:sz="0" w:space="0" w:color="auto"/>
        <w:left w:val="none" w:sz="0" w:space="0" w:color="auto"/>
        <w:bottom w:val="none" w:sz="0" w:space="0" w:color="auto"/>
        <w:right w:val="none" w:sz="0" w:space="0" w:color="auto"/>
      </w:divBdr>
      <w:divsChild>
        <w:div w:id="1436443892">
          <w:marLeft w:val="0"/>
          <w:marRight w:val="0"/>
          <w:marTop w:val="0"/>
          <w:marBottom w:val="0"/>
          <w:divBdr>
            <w:top w:val="none" w:sz="0" w:space="0" w:color="auto"/>
            <w:left w:val="none" w:sz="0" w:space="0" w:color="auto"/>
            <w:bottom w:val="none" w:sz="0" w:space="0" w:color="auto"/>
            <w:right w:val="none" w:sz="0" w:space="0" w:color="auto"/>
          </w:divBdr>
          <w:divsChild>
            <w:div w:id="360861677">
              <w:marLeft w:val="0"/>
              <w:marRight w:val="0"/>
              <w:marTop w:val="0"/>
              <w:marBottom w:val="0"/>
              <w:divBdr>
                <w:top w:val="none" w:sz="0" w:space="0" w:color="auto"/>
                <w:left w:val="none" w:sz="0" w:space="0" w:color="auto"/>
                <w:bottom w:val="none" w:sz="0" w:space="0" w:color="auto"/>
                <w:right w:val="none" w:sz="0" w:space="0" w:color="auto"/>
              </w:divBdr>
              <w:divsChild>
                <w:div w:id="14520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0790">
      <w:bodyDiv w:val="1"/>
      <w:marLeft w:val="0"/>
      <w:marRight w:val="0"/>
      <w:marTop w:val="0"/>
      <w:marBottom w:val="0"/>
      <w:divBdr>
        <w:top w:val="none" w:sz="0" w:space="0" w:color="auto"/>
        <w:left w:val="none" w:sz="0" w:space="0" w:color="auto"/>
        <w:bottom w:val="none" w:sz="0" w:space="0" w:color="auto"/>
        <w:right w:val="none" w:sz="0" w:space="0" w:color="auto"/>
      </w:divBdr>
      <w:divsChild>
        <w:div w:id="96946288">
          <w:marLeft w:val="0"/>
          <w:marRight w:val="0"/>
          <w:marTop w:val="0"/>
          <w:marBottom w:val="0"/>
          <w:divBdr>
            <w:top w:val="none" w:sz="0" w:space="0" w:color="auto"/>
            <w:left w:val="none" w:sz="0" w:space="0" w:color="auto"/>
            <w:bottom w:val="none" w:sz="0" w:space="0" w:color="auto"/>
            <w:right w:val="none" w:sz="0" w:space="0" w:color="auto"/>
          </w:divBdr>
          <w:divsChild>
            <w:div w:id="1007053761">
              <w:marLeft w:val="0"/>
              <w:marRight w:val="0"/>
              <w:marTop w:val="0"/>
              <w:marBottom w:val="0"/>
              <w:divBdr>
                <w:top w:val="none" w:sz="0" w:space="0" w:color="auto"/>
                <w:left w:val="none" w:sz="0" w:space="0" w:color="auto"/>
                <w:bottom w:val="none" w:sz="0" w:space="0" w:color="auto"/>
                <w:right w:val="none" w:sz="0" w:space="0" w:color="auto"/>
              </w:divBdr>
              <w:divsChild>
                <w:div w:id="8168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1970">
      <w:bodyDiv w:val="1"/>
      <w:marLeft w:val="0"/>
      <w:marRight w:val="0"/>
      <w:marTop w:val="0"/>
      <w:marBottom w:val="0"/>
      <w:divBdr>
        <w:top w:val="none" w:sz="0" w:space="0" w:color="auto"/>
        <w:left w:val="none" w:sz="0" w:space="0" w:color="auto"/>
        <w:bottom w:val="none" w:sz="0" w:space="0" w:color="auto"/>
        <w:right w:val="none" w:sz="0" w:space="0" w:color="auto"/>
      </w:divBdr>
      <w:divsChild>
        <w:div w:id="636111778">
          <w:marLeft w:val="0"/>
          <w:marRight w:val="0"/>
          <w:marTop w:val="0"/>
          <w:marBottom w:val="0"/>
          <w:divBdr>
            <w:top w:val="none" w:sz="0" w:space="0" w:color="auto"/>
            <w:left w:val="none" w:sz="0" w:space="0" w:color="auto"/>
            <w:bottom w:val="none" w:sz="0" w:space="0" w:color="auto"/>
            <w:right w:val="none" w:sz="0" w:space="0" w:color="auto"/>
          </w:divBdr>
          <w:divsChild>
            <w:div w:id="371882927">
              <w:marLeft w:val="0"/>
              <w:marRight w:val="0"/>
              <w:marTop w:val="0"/>
              <w:marBottom w:val="0"/>
              <w:divBdr>
                <w:top w:val="none" w:sz="0" w:space="0" w:color="auto"/>
                <w:left w:val="none" w:sz="0" w:space="0" w:color="auto"/>
                <w:bottom w:val="none" w:sz="0" w:space="0" w:color="auto"/>
                <w:right w:val="none" w:sz="0" w:space="0" w:color="auto"/>
              </w:divBdr>
              <w:divsChild>
                <w:div w:id="9603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69278">
      <w:bodyDiv w:val="1"/>
      <w:marLeft w:val="0"/>
      <w:marRight w:val="0"/>
      <w:marTop w:val="0"/>
      <w:marBottom w:val="0"/>
      <w:divBdr>
        <w:top w:val="none" w:sz="0" w:space="0" w:color="auto"/>
        <w:left w:val="none" w:sz="0" w:space="0" w:color="auto"/>
        <w:bottom w:val="none" w:sz="0" w:space="0" w:color="auto"/>
        <w:right w:val="none" w:sz="0" w:space="0" w:color="auto"/>
      </w:divBdr>
      <w:divsChild>
        <w:div w:id="968048065">
          <w:marLeft w:val="0"/>
          <w:marRight w:val="0"/>
          <w:marTop w:val="0"/>
          <w:marBottom w:val="0"/>
          <w:divBdr>
            <w:top w:val="none" w:sz="0" w:space="0" w:color="auto"/>
            <w:left w:val="none" w:sz="0" w:space="0" w:color="auto"/>
            <w:bottom w:val="none" w:sz="0" w:space="0" w:color="auto"/>
            <w:right w:val="none" w:sz="0" w:space="0" w:color="auto"/>
          </w:divBdr>
          <w:divsChild>
            <w:div w:id="1848593124">
              <w:marLeft w:val="0"/>
              <w:marRight w:val="0"/>
              <w:marTop w:val="0"/>
              <w:marBottom w:val="0"/>
              <w:divBdr>
                <w:top w:val="none" w:sz="0" w:space="0" w:color="auto"/>
                <w:left w:val="none" w:sz="0" w:space="0" w:color="auto"/>
                <w:bottom w:val="none" w:sz="0" w:space="0" w:color="auto"/>
                <w:right w:val="none" w:sz="0" w:space="0" w:color="auto"/>
              </w:divBdr>
              <w:divsChild>
                <w:div w:id="16633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5632">
      <w:bodyDiv w:val="1"/>
      <w:marLeft w:val="0"/>
      <w:marRight w:val="0"/>
      <w:marTop w:val="0"/>
      <w:marBottom w:val="0"/>
      <w:divBdr>
        <w:top w:val="none" w:sz="0" w:space="0" w:color="auto"/>
        <w:left w:val="none" w:sz="0" w:space="0" w:color="auto"/>
        <w:bottom w:val="none" w:sz="0" w:space="0" w:color="auto"/>
        <w:right w:val="none" w:sz="0" w:space="0" w:color="auto"/>
      </w:divBdr>
      <w:divsChild>
        <w:div w:id="1146704860">
          <w:marLeft w:val="0"/>
          <w:marRight w:val="0"/>
          <w:marTop w:val="0"/>
          <w:marBottom w:val="0"/>
          <w:divBdr>
            <w:top w:val="none" w:sz="0" w:space="0" w:color="auto"/>
            <w:left w:val="none" w:sz="0" w:space="0" w:color="auto"/>
            <w:bottom w:val="none" w:sz="0" w:space="0" w:color="auto"/>
            <w:right w:val="none" w:sz="0" w:space="0" w:color="auto"/>
          </w:divBdr>
          <w:divsChild>
            <w:div w:id="1595359428">
              <w:marLeft w:val="0"/>
              <w:marRight w:val="0"/>
              <w:marTop w:val="0"/>
              <w:marBottom w:val="0"/>
              <w:divBdr>
                <w:top w:val="none" w:sz="0" w:space="0" w:color="auto"/>
                <w:left w:val="none" w:sz="0" w:space="0" w:color="auto"/>
                <w:bottom w:val="none" w:sz="0" w:space="0" w:color="auto"/>
                <w:right w:val="none" w:sz="0" w:space="0" w:color="auto"/>
              </w:divBdr>
              <w:divsChild>
                <w:div w:id="18543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97683">
      <w:bodyDiv w:val="1"/>
      <w:marLeft w:val="0"/>
      <w:marRight w:val="0"/>
      <w:marTop w:val="0"/>
      <w:marBottom w:val="0"/>
      <w:divBdr>
        <w:top w:val="none" w:sz="0" w:space="0" w:color="auto"/>
        <w:left w:val="none" w:sz="0" w:space="0" w:color="auto"/>
        <w:bottom w:val="none" w:sz="0" w:space="0" w:color="auto"/>
        <w:right w:val="none" w:sz="0" w:space="0" w:color="auto"/>
      </w:divBdr>
      <w:divsChild>
        <w:div w:id="925110085">
          <w:marLeft w:val="0"/>
          <w:marRight w:val="0"/>
          <w:marTop w:val="0"/>
          <w:marBottom w:val="0"/>
          <w:divBdr>
            <w:top w:val="none" w:sz="0" w:space="0" w:color="auto"/>
            <w:left w:val="none" w:sz="0" w:space="0" w:color="auto"/>
            <w:bottom w:val="none" w:sz="0" w:space="0" w:color="auto"/>
            <w:right w:val="none" w:sz="0" w:space="0" w:color="auto"/>
          </w:divBdr>
          <w:divsChild>
            <w:div w:id="1880780082">
              <w:marLeft w:val="0"/>
              <w:marRight w:val="0"/>
              <w:marTop w:val="0"/>
              <w:marBottom w:val="0"/>
              <w:divBdr>
                <w:top w:val="none" w:sz="0" w:space="0" w:color="auto"/>
                <w:left w:val="none" w:sz="0" w:space="0" w:color="auto"/>
                <w:bottom w:val="none" w:sz="0" w:space="0" w:color="auto"/>
                <w:right w:val="none" w:sz="0" w:space="0" w:color="auto"/>
              </w:divBdr>
              <w:divsChild>
                <w:div w:id="10290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2211">
      <w:bodyDiv w:val="1"/>
      <w:marLeft w:val="0"/>
      <w:marRight w:val="0"/>
      <w:marTop w:val="0"/>
      <w:marBottom w:val="0"/>
      <w:divBdr>
        <w:top w:val="none" w:sz="0" w:space="0" w:color="auto"/>
        <w:left w:val="none" w:sz="0" w:space="0" w:color="auto"/>
        <w:bottom w:val="none" w:sz="0" w:space="0" w:color="auto"/>
        <w:right w:val="none" w:sz="0" w:space="0" w:color="auto"/>
      </w:divBdr>
      <w:divsChild>
        <w:div w:id="419062456">
          <w:marLeft w:val="0"/>
          <w:marRight w:val="0"/>
          <w:marTop w:val="0"/>
          <w:marBottom w:val="0"/>
          <w:divBdr>
            <w:top w:val="none" w:sz="0" w:space="0" w:color="auto"/>
            <w:left w:val="none" w:sz="0" w:space="0" w:color="auto"/>
            <w:bottom w:val="none" w:sz="0" w:space="0" w:color="auto"/>
            <w:right w:val="none" w:sz="0" w:space="0" w:color="auto"/>
          </w:divBdr>
          <w:divsChild>
            <w:div w:id="794175992">
              <w:marLeft w:val="0"/>
              <w:marRight w:val="0"/>
              <w:marTop w:val="0"/>
              <w:marBottom w:val="0"/>
              <w:divBdr>
                <w:top w:val="none" w:sz="0" w:space="0" w:color="auto"/>
                <w:left w:val="none" w:sz="0" w:space="0" w:color="auto"/>
                <w:bottom w:val="none" w:sz="0" w:space="0" w:color="auto"/>
                <w:right w:val="none" w:sz="0" w:space="0" w:color="auto"/>
              </w:divBdr>
              <w:divsChild>
                <w:div w:id="14325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44316">
      <w:bodyDiv w:val="1"/>
      <w:marLeft w:val="0"/>
      <w:marRight w:val="0"/>
      <w:marTop w:val="0"/>
      <w:marBottom w:val="0"/>
      <w:divBdr>
        <w:top w:val="none" w:sz="0" w:space="0" w:color="auto"/>
        <w:left w:val="none" w:sz="0" w:space="0" w:color="auto"/>
        <w:bottom w:val="none" w:sz="0" w:space="0" w:color="auto"/>
        <w:right w:val="none" w:sz="0" w:space="0" w:color="auto"/>
      </w:divBdr>
      <w:divsChild>
        <w:div w:id="1463157412">
          <w:marLeft w:val="0"/>
          <w:marRight w:val="0"/>
          <w:marTop w:val="0"/>
          <w:marBottom w:val="0"/>
          <w:divBdr>
            <w:top w:val="none" w:sz="0" w:space="0" w:color="auto"/>
            <w:left w:val="none" w:sz="0" w:space="0" w:color="auto"/>
            <w:bottom w:val="none" w:sz="0" w:space="0" w:color="auto"/>
            <w:right w:val="none" w:sz="0" w:space="0" w:color="auto"/>
          </w:divBdr>
          <w:divsChild>
            <w:div w:id="894508850">
              <w:marLeft w:val="0"/>
              <w:marRight w:val="0"/>
              <w:marTop w:val="0"/>
              <w:marBottom w:val="0"/>
              <w:divBdr>
                <w:top w:val="none" w:sz="0" w:space="0" w:color="auto"/>
                <w:left w:val="none" w:sz="0" w:space="0" w:color="auto"/>
                <w:bottom w:val="none" w:sz="0" w:space="0" w:color="auto"/>
                <w:right w:val="none" w:sz="0" w:space="0" w:color="auto"/>
              </w:divBdr>
              <w:divsChild>
                <w:div w:id="2887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3123">
      <w:bodyDiv w:val="1"/>
      <w:marLeft w:val="0"/>
      <w:marRight w:val="0"/>
      <w:marTop w:val="0"/>
      <w:marBottom w:val="0"/>
      <w:divBdr>
        <w:top w:val="none" w:sz="0" w:space="0" w:color="auto"/>
        <w:left w:val="none" w:sz="0" w:space="0" w:color="auto"/>
        <w:bottom w:val="none" w:sz="0" w:space="0" w:color="auto"/>
        <w:right w:val="none" w:sz="0" w:space="0" w:color="auto"/>
      </w:divBdr>
      <w:divsChild>
        <w:div w:id="1625698203">
          <w:marLeft w:val="0"/>
          <w:marRight w:val="0"/>
          <w:marTop w:val="0"/>
          <w:marBottom w:val="0"/>
          <w:divBdr>
            <w:top w:val="none" w:sz="0" w:space="0" w:color="auto"/>
            <w:left w:val="none" w:sz="0" w:space="0" w:color="auto"/>
            <w:bottom w:val="none" w:sz="0" w:space="0" w:color="auto"/>
            <w:right w:val="none" w:sz="0" w:space="0" w:color="auto"/>
          </w:divBdr>
          <w:divsChild>
            <w:div w:id="44565460">
              <w:marLeft w:val="0"/>
              <w:marRight w:val="0"/>
              <w:marTop w:val="0"/>
              <w:marBottom w:val="0"/>
              <w:divBdr>
                <w:top w:val="none" w:sz="0" w:space="0" w:color="auto"/>
                <w:left w:val="none" w:sz="0" w:space="0" w:color="auto"/>
                <w:bottom w:val="none" w:sz="0" w:space="0" w:color="auto"/>
                <w:right w:val="none" w:sz="0" w:space="0" w:color="auto"/>
              </w:divBdr>
              <w:divsChild>
                <w:div w:id="11987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74936">
      <w:bodyDiv w:val="1"/>
      <w:marLeft w:val="0"/>
      <w:marRight w:val="0"/>
      <w:marTop w:val="0"/>
      <w:marBottom w:val="0"/>
      <w:divBdr>
        <w:top w:val="none" w:sz="0" w:space="0" w:color="auto"/>
        <w:left w:val="none" w:sz="0" w:space="0" w:color="auto"/>
        <w:bottom w:val="none" w:sz="0" w:space="0" w:color="auto"/>
        <w:right w:val="none" w:sz="0" w:space="0" w:color="auto"/>
      </w:divBdr>
      <w:divsChild>
        <w:div w:id="1812818961">
          <w:marLeft w:val="0"/>
          <w:marRight w:val="0"/>
          <w:marTop w:val="0"/>
          <w:marBottom w:val="0"/>
          <w:divBdr>
            <w:top w:val="none" w:sz="0" w:space="0" w:color="auto"/>
            <w:left w:val="none" w:sz="0" w:space="0" w:color="auto"/>
            <w:bottom w:val="none" w:sz="0" w:space="0" w:color="auto"/>
            <w:right w:val="none" w:sz="0" w:space="0" w:color="auto"/>
          </w:divBdr>
          <w:divsChild>
            <w:div w:id="1475872077">
              <w:marLeft w:val="0"/>
              <w:marRight w:val="0"/>
              <w:marTop w:val="0"/>
              <w:marBottom w:val="0"/>
              <w:divBdr>
                <w:top w:val="none" w:sz="0" w:space="0" w:color="auto"/>
                <w:left w:val="none" w:sz="0" w:space="0" w:color="auto"/>
                <w:bottom w:val="none" w:sz="0" w:space="0" w:color="auto"/>
                <w:right w:val="none" w:sz="0" w:space="0" w:color="auto"/>
              </w:divBdr>
              <w:divsChild>
                <w:div w:id="1756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70382">
      <w:bodyDiv w:val="1"/>
      <w:marLeft w:val="0"/>
      <w:marRight w:val="0"/>
      <w:marTop w:val="0"/>
      <w:marBottom w:val="0"/>
      <w:divBdr>
        <w:top w:val="none" w:sz="0" w:space="0" w:color="auto"/>
        <w:left w:val="none" w:sz="0" w:space="0" w:color="auto"/>
        <w:bottom w:val="none" w:sz="0" w:space="0" w:color="auto"/>
        <w:right w:val="none" w:sz="0" w:space="0" w:color="auto"/>
      </w:divBdr>
      <w:divsChild>
        <w:div w:id="1997147013">
          <w:marLeft w:val="0"/>
          <w:marRight w:val="0"/>
          <w:marTop w:val="0"/>
          <w:marBottom w:val="0"/>
          <w:divBdr>
            <w:top w:val="none" w:sz="0" w:space="0" w:color="auto"/>
            <w:left w:val="none" w:sz="0" w:space="0" w:color="auto"/>
            <w:bottom w:val="none" w:sz="0" w:space="0" w:color="auto"/>
            <w:right w:val="none" w:sz="0" w:space="0" w:color="auto"/>
          </w:divBdr>
          <w:divsChild>
            <w:div w:id="2122217824">
              <w:marLeft w:val="0"/>
              <w:marRight w:val="0"/>
              <w:marTop w:val="0"/>
              <w:marBottom w:val="0"/>
              <w:divBdr>
                <w:top w:val="none" w:sz="0" w:space="0" w:color="auto"/>
                <w:left w:val="none" w:sz="0" w:space="0" w:color="auto"/>
                <w:bottom w:val="none" w:sz="0" w:space="0" w:color="auto"/>
                <w:right w:val="none" w:sz="0" w:space="0" w:color="auto"/>
              </w:divBdr>
              <w:divsChild>
                <w:div w:id="9720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Lester</dc:creator>
  <cp:keywords/>
  <cp:lastModifiedBy>Aidan Camas</cp:lastModifiedBy>
  <cp:revision>2</cp:revision>
  <dcterms:created xsi:type="dcterms:W3CDTF">2015-12-04T14:24:00Z</dcterms:created>
  <dcterms:modified xsi:type="dcterms:W3CDTF">2015-12-04T14:24:00Z</dcterms:modified>
</cp:coreProperties>
</file>