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59" w:rsidRPr="006673DF" w:rsidRDefault="00364459" w:rsidP="00364459">
      <w:pPr>
        <w:pStyle w:val="Heading1"/>
        <w:rPr>
          <w:b/>
          <w:szCs w:val="24"/>
        </w:rPr>
      </w:pPr>
      <w:bookmarkStart w:id="0" w:name="_Toc433213811"/>
      <w:r w:rsidRPr="00E77614">
        <w:rPr>
          <w:szCs w:val="24"/>
        </w:rPr>
        <w:t>Policy:</w:t>
      </w:r>
      <w:r w:rsidRPr="00770831">
        <w:rPr>
          <w:szCs w:val="24"/>
        </w:rPr>
        <w:tab/>
      </w:r>
      <w:r w:rsidRPr="00D8463C">
        <w:rPr>
          <w:szCs w:val="24"/>
        </w:rPr>
        <w:t>HR – Witness Leave</w:t>
      </w:r>
      <w:bookmarkEnd w:id="0"/>
    </w:p>
    <w:p w:rsidR="00364459" w:rsidRPr="006673DF" w:rsidRDefault="00364459" w:rsidP="00364459">
      <w:pPr>
        <w:rPr>
          <w:rFonts w:cs="Arial"/>
        </w:rPr>
      </w:pPr>
    </w:p>
    <w:p w:rsidR="00364459" w:rsidRPr="000067AE" w:rsidRDefault="00364459" w:rsidP="00364459">
      <w:pPr>
        <w:pStyle w:val="Subtitle"/>
      </w:pPr>
      <w:r w:rsidRPr="00523472">
        <w:t>Purpose</w:t>
      </w:r>
      <w:r w:rsidRPr="000067AE">
        <w:t>:</w:t>
      </w:r>
      <w:r w:rsidRPr="00AB25BE">
        <w:t xml:space="preserve"> </w:t>
      </w:r>
      <w:r w:rsidRPr="00AB25BE">
        <w:tab/>
        <w:t>[Company Name]</w:t>
      </w:r>
      <w:r w:rsidRPr="00523472">
        <w:t xml:space="preserve"> encourages all employees to accep</w:t>
      </w:r>
      <w:r w:rsidRPr="000067AE">
        <w:t xml:space="preserve">t their civic responsibilities, and as a good corporate citizen, the company is pleased to assist employees in the performance of their civic duties. </w:t>
      </w:r>
    </w:p>
    <w:p w:rsidR="00364459" w:rsidRPr="00A93E03" w:rsidRDefault="00364459" w:rsidP="00364459">
      <w:pPr>
        <w:pStyle w:val="Heading2"/>
      </w:pPr>
      <w:r w:rsidRPr="00E77614">
        <w:t>Policy</w:t>
      </w:r>
    </w:p>
    <w:p w:rsidR="00364459" w:rsidRPr="00A93E03" w:rsidRDefault="00364459" w:rsidP="00364459">
      <w:r w:rsidRPr="00E77614">
        <w:rPr>
          <w:rStyle w:val="Emphasis"/>
        </w:rPr>
        <w:t xml:space="preserve">The company provides paid leave to eligible employees who are called to appear as witnesses in a judicial proceeding related to the performance of their duties as a field provider, pursuant to a subpoena or other court order. Employees who are summoned to appear as a witness for a </w:t>
      </w:r>
      <w:proofErr w:type="spellStart"/>
      <w:r w:rsidRPr="00E77614">
        <w:rPr>
          <w:rStyle w:val="Emphasis"/>
        </w:rPr>
        <w:t>nonwork</w:t>
      </w:r>
      <w:proofErr w:type="spellEnd"/>
      <w:r w:rsidRPr="00E77614">
        <w:rPr>
          <w:rStyle w:val="Emphasis"/>
        </w:rPr>
        <w:t>-related proceeding may use available paid time off (PTO).</w:t>
      </w:r>
    </w:p>
    <w:p w:rsidR="00364459" w:rsidRDefault="00364459" w:rsidP="00364459">
      <w:pPr>
        <w:pStyle w:val="Heading3"/>
        <w:rPr>
          <w:color w:val="333333"/>
          <w:sz w:val="21"/>
          <w:szCs w:val="21"/>
        </w:rPr>
      </w:pPr>
      <w:r w:rsidRPr="00E03651">
        <w:t>Eligibility</w:t>
      </w:r>
      <w:r>
        <w:t>:</w:t>
      </w:r>
      <w:r>
        <w:rPr>
          <w:color w:val="333333"/>
          <w:sz w:val="21"/>
          <w:szCs w:val="21"/>
        </w:rPr>
        <w:t xml:space="preserve"> </w:t>
      </w:r>
    </w:p>
    <w:p w:rsidR="00364459" w:rsidRDefault="00364459" w:rsidP="00364459">
      <w:r w:rsidRPr="00E03651">
        <w:t>Employees should notify the company as soon as practicable of the need for leave under this policy when they are summoned to witness duty, including providing appropriate documentation</w:t>
      </w:r>
      <w:r>
        <w:t xml:space="preserve"> to ensure the appropriate payment of wages</w:t>
      </w:r>
      <w:r w:rsidRPr="00E03651">
        <w:t>.</w:t>
      </w:r>
    </w:p>
    <w:p w:rsidR="00364459" w:rsidRDefault="00364459" w:rsidP="00364459">
      <w:pPr>
        <w:rPr>
          <w:color w:val="333333"/>
          <w:sz w:val="21"/>
          <w:szCs w:val="21"/>
        </w:rPr>
      </w:pPr>
      <w:r>
        <w:t xml:space="preserve">For </w:t>
      </w:r>
      <w:proofErr w:type="spellStart"/>
      <w:r>
        <w:t>nonwork</w:t>
      </w:r>
      <w:proofErr w:type="spellEnd"/>
      <w:r>
        <w:t>-related appearances, e</w:t>
      </w:r>
      <w:r w:rsidRPr="00E03651">
        <w:t>mployees may use accrued, unused paid time off (including vacation/paid time off) for leave taken under this policy</w:t>
      </w:r>
      <w:r>
        <w:t xml:space="preserve">. </w:t>
      </w:r>
      <w:r w:rsidRPr="00E03651">
        <w:t>The notice and eligibility requirements for any such paid time off will generally apply to an employee’s request for use of paid time off under this policy</w:t>
      </w:r>
      <w:r>
        <w:rPr>
          <w:color w:val="333333"/>
          <w:sz w:val="21"/>
          <w:szCs w:val="21"/>
        </w:rPr>
        <w:t xml:space="preserve">. </w:t>
      </w:r>
    </w:p>
    <w:p w:rsidR="00364459" w:rsidRDefault="00364459" w:rsidP="00364459">
      <w:pPr>
        <w:pStyle w:val="Heading3"/>
        <w:rPr>
          <w:color w:val="333333"/>
          <w:sz w:val="21"/>
          <w:szCs w:val="21"/>
        </w:rPr>
      </w:pPr>
      <w:r w:rsidRPr="00E03651">
        <w:t>Procedures</w:t>
      </w:r>
      <w:r>
        <w:rPr>
          <w:color w:val="333333"/>
          <w:sz w:val="21"/>
          <w:szCs w:val="21"/>
        </w:rPr>
        <w:t>: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p w:rsidR="00364459" w:rsidRPr="00E03651" w:rsidRDefault="00364459" w:rsidP="00364459">
      <w:r w:rsidRPr="00E03651">
        <w:t xml:space="preserve">Employees requesting leave under this policy should comply with the following requirements: On receiving a </w:t>
      </w:r>
      <w:r>
        <w:t>witness</w:t>
      </w:r>
      <w:r w:rsidRPr="00E03651">
        <w:t xml:space="preserve"> summons, subpoena or other court order requiring appearance in a judicial proceeding as a witness, the employee should notify [his</w:t>
      </w:r>
      <w:r>
        <w:t>/</w:t>
      </w:r>
      <w:r w:rsidRPr="00E03651">
        <w:t>her supervisor/</w:t>
      </w:r>
      <w:r>
        <w:t>H</w:t>
      </w:r>
      <w:r w:rsidRPr="00E03651">
        <w:t xml:space="preserve">uman </w:t>
      </w:r>
      <w:r>
        <w:t>R</w:t>
      </w:r>
      <w:r w:rsidRPr="00E03651">
        <w:t>esources/other job title]</w:t>
      </w:r>
      <w:r>
        <w:t xml:space="preserve">. </w:t>
      </w:r>
      <w:r w:rsidRPr="00E03651">
        <w:t xml:space="preserve">Employees should submit appropriate documentation, including a copy of the </w:t>
      </w:r>
      <w:r>
        <w:t>witness</w:t>
      </w:r>
      <w:r w:rsidRPr="00E03651">
        <w:t xml:space="preserve"> summons, subpoena or other court order [along with a completed </w:t>
      </w:r>
      <w:r w:rsidRPr="0069621B">
        <w:rPr>
          <w:u w:val="single"/>
        </w:rPr>
        <w:t>[Company Name]</w:t>
      </w:r>
      <w:r w:rsidRPr="00E03651">
        <w:t xml:space="preserve"> Time </w:t>
      </w:r>
      <w:proofErr w:type="gramStart"/>
      <w:r w:rsidRPr="00E03651">
        <w:t>Off</w:t>
      </w:r>
      <w:proofErr w:type="gramEnd"/>
      <w:r w:rsidRPr="00E03651">
        <w:t xml:space="preserve"> Request form] as soon as practicable</w:t>
      </w:r>
      <w:r>
        <w:t xml:space="preserve">. </w:t>
      </w:r>
      <w:r w:rsidRPr="00E03651">
        <w:t xml:space="preserve">An employee who is released from witness duty before the end of his or her regularly scheduled shift is expected to </w:t>
      </w:r>
      <w:r>
        <w:t>report to work for the remainder of the shift.</w:t>
      </w:r>
      <w:r w:rsidRPr="00E03651">
        <w:t xml:space="preserve"> </w:t>
      </w:r>
    </w:p>
    <w:p w:rsidR="00364459" w:rsidRDefault="00364459" w:rsidP="00364459">
      <w:pPr>
        <w:rPr>
          <w:rFonts w:cs="Arial"/>
        </w:rPr>
      </w:pPr>
    </w:p>
    <w:p w:rsidR="00364459" w:rsidRPr="006673DF" w:rsidRDefault="00364459" w:rsidP="00364459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364459" w:rsidRPr="006673DF" w:rsidRDefault="00364459" w:rsidP="00364459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364459" w:rsidRPr="006673DF" w:rsidRDefault="00364459" w:rsidP="00364459"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1" w:name="_GoBack"/>
      <w:bookmarkEnd w:id="1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9"/>
    <w:rsid w:val="00364459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8205-B77E-432F-B7D5-308BC1CE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59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3644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4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45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36445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445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4459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459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459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364459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2015-10-23T16:01:00Z</dcterms:created>
  <dcterms:modified xsi:type="dcterms:W3CDTF">2015-10-23T16:01:00Z</dcterms:modified>
</cp:coreProperties>
</file>